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C8D8" w14:textId="77777777" w:rsidR="006E71B0" w:rsidRDefault="000B3D88" w:rsidP="000B3D88">
      <w:pPr>
        <w:jc w:val="center"/>
        <w:rPr>
          <w:b/>
          <w:bCs/>
          <w:sz w:val="32"/>
          <w:szCs w:val="32"/>
          <w:lang w:val="en-US"/>
        </w:rPr>
      </w:pPr>
      <w:r>
        <w:rPr>
          <w:noProof/>
          <w:sz w:val="2"/>
          <w:szCs w:val="2"/>
          <w:lang w:eastAsia="en-GB"/>
          <w14:ligatures w14:val="none"/>
        </w:rPr>
        <w:drawing>
          <wp:inline distT="0" distB="0" distL="0" distR="0" wp14:anchorId="09650E25" wp14:editId="60B352E6">
            <wp:extent cx="998220" cy="998220"/>
            <wp:effectExtent l="0" t="0" r="11430" b="11430"/>
            <wp:docPr id="516844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4EA9AAF5" w14:textId="77777777" w:rsidR="00C83160" w:rsidRDefault="006E71B0" w:rsidP="00CD612A">
      <w:pPr>
        <w:jc w:val="center"/>
        <w:rPr>
          <w:b/>
          <w:bCs/>
          <w:sz w:val="32"/>
          <w:szCs w:val="32"/>
          <w:lang w:val="en-US"/>
        </w:rPr>
      </w:pPr>
      <w:r w:rsidRPr="006E71B0">
        <w:rPr>
          <w:b/>
          <w:bCs/>
          <w:sz w:val="32"/>
          <w:szCs w:val="32"/>
          <w:lang w:val="en-US"/>
        </w:rPr>
        <w:t>LOCAL LETTING PLAN FOR VICTORIA STREET, MANSFIELD</w:t>
      </w:r>
    </w:p>
    <w:tbl>
      <w:tblPr>
        <w:tblStyle w:val="TableGrid"/>
        <w:tblW w:w="0" w:type="auto"/>
        <w:tblLook w:val="04A0" w:firstRow="1" w:lastRow="0" w:firstColumn="1" w:lastColumn="0" w:noHBand="0" w:noVBand="1"/>
      </w:tblPr>
      <w:tblGrid>
        <w:gridCol w:w="2122"/>
        <w:gridCol w:w="6894"/>
      </w:tblGrid>
      <w:tr w:rsidR="006E71B0" w14:paraId="7F9A44C5" w14:textId="77777777" w:rsidTr="006E71B0">
        <w:tc>
          <w:tcPr>
            <w:tcW w:w="2122" w:type="dxa"/>
          </w:tcPr>
          <w:p w14:paraId="5E106473" w14:textId="77777777" w:rsidR="006E71B0" w:rsidRPr="00AA5AE3" w:rsidRDefault="006E71B0">
            <w:pPr>
              <w:rPr>
                <w:rFonts w:ascii="Arial" w:hAnsi="Arial" w:cs="Arial"/>
                <w:b/>
                <w:bCs/>
                <w:lang w:val="en-US"/>
              </w:rPr>
            </w:pPr>
            <w:r w:rsidRPr="00AA5AE3">
              <w:rPr>
                <w:rFonts w:ascii="Arial" w:hAnsi="Arial" w:cs="Arial"/>
                <w:b/>
                <w:bCs/>
                <w:lang w:val="en-US"/>
              </w:rPr>
              <w:t>Scheme</w:t>
            </w:r>
          </w:p>
        </w:tc>
        <w:tc>
          <w:tcPr>
            <w:tcW w:w="6894" w:type="dxa"/>
          </w:tcPr>
          <w:p w14:paraId="35EA7BC0" w14:textId="77777777" w:rsidR="006E71B0" w:rsidRPr="00632425" w:rsidRDefault="006E71B0">
            <w:pPr>
              <w:rPr>
                <w:rFonts w:ascii="Arial" w:hAnsi="Arial" w:cs="Arial"/>
                <w:lang w:val="en-US"/>
              </w:rPr>
            </w:pPr>
            <w:r w:rsidRPr="00632425">
              <w:rPr>
                <w:rFonts w:ascii="Arial" w:hAnsi="Arial" w:cs="Arial"/>
                <w:lang w:val="en-US"/>
              </w:rPr>
              <w:t>Victoria Street, Mansfield</w:t>
            </w:r>
          </w:p>
        </w:tc>
      </w:tr>
      <w:tr w:rsidR="006E71B0" w14:paraId="0C0191DC" w14:textId="77777777" w:rsidTr="006E71B0">
        <w:tc>
          <w:tcPr>
            <w:tcW w:w="2122" w:type="dxa"/>
          </w:tcPr>
          <w:p w14:paraId="5C4D3978" w14:textId="77777777" w:rsidR="006E71B0" w:rsidRPr="00AA5AE3" w:rsidRDefault="006E71B0">
            <w:pPr>
              <w:rPr>
                <w:rFonts w:ascii="Arial" w:hAnsi="Arial" w:cs="Arial"/>
                <w:b/>
                <w:bCs/>
                <w:lang w:val="en-US"/>
              </w:rPr>
            </w:pPr>
            <w:r w:rsidRPr="00AA5AE3">
              <w:rPr>
                <w:rFonts w:ascii="Arial" w:hAnsi="Arial" w:cs="Arial"/>
                <w:b/>
                <w:bCs/>
                <w:lang w:val="en-US"/>
              </w:rPr>
              <w:t xml:space="preserve">Landlord </w:t>
            </w:r>
          </w:p>
        </w:tc>
        <w:tc>
          <w:tcPr>
            <w:tcW w:w="6894" w:type="dxa"/>
          </w:tcPr>
          <w:p w14:paraId="19A28CD5" w14:textId="77777777" w:rsidR="006E71B0" w:rsidRPr="00632425" w:rsidRDefault="006E71B0">
            <w:pPr>
              <w:rPr>
                <w:rFonts w:ascii="Arial" w:hAnsi="Arial" w:cs="Arial"/>
                <w:lang w:val="en-US"/>
              </w:rPr>
            </w:pPr>
            <w:r w:rsidRPr="00632425">
              <w:rPr>
                <w:rFonts w:ascii="Arial" w:hAnsi="Arial" w:cs="Arial"/>
                <w:lang w:val="en-US"/>
              </w:rPr>
              <w:t>Emh homes</w:t>
            </w:r>
          </w:p>
        </w:tc>
      </w:tr>
      <w:tr w:rsidR="006E71B0" w14:paraId="3534E821" w14:textId="77777777" w:rsidTr="006E71B0">
        <w:tc>
          <w:tcPr>
            <w:tcW w:w="2122" w:type="dxa"/>
          </w:tcPr>
          <w:p w14:paraId="33456D87" w14:textId="77777777" w:rsidR="006E71B0" w:rsidRPr="00AA5AE3" w:rsidRDefault="006E71B0">
            <w:pPr>
              <w:rPr>
                <w:rFonts w:ascii="Arial" w:hAnsi="Arial" w:cs="Arial"/>
                <w:b/>
                <w:bCs/>
                <w:lang w:val="en-US"/>
              </w:rPr>
            </w:pPr>
            <w:r w:rsidRPr="00AA5AE3">
              <w:rPr>
                <w:rFonts w:ascii="Arial" w:hAnsi="Arial" w:cs="Arial"/>
                <w:b/>
                <w:bCs/>
                <w:lang w:val="en-US"/>
              </w:rPr>
              <w:t>Completion Date:</w:t>
            </w:r>
          </w:p>
        </w:tc>
        <w:tc>
          <w:tcPr>
            <w:tcW w:w="6894" w:type="dxa"/>
          </w:tcPr>
          <w:p w14:paraId="0987AE43" w14:textId="77777777" w:rsidR="006E71B0" w:rsidRPr="00632425" w:rsidRDefault="006E71B0">
            <w:pPr>
              <w:rPr>
                <w:rFonts w:ascii="Arial" w:hAnsi="Arial" w:cs="Arial"/>
                <w:lang w:val="en-US"/>
              </w:rPr>
            </w:pPr>
            <w:r w:rsidRPr="00632425">
              <w:rPr>
                <w:rFonts w:ascii="Arial" w:hAnsi="Arial" w:cs="Arial"/>
                <w:lang w:val="en-US"/>
              </w:rPr>
              <w:t xml:space="preserve">Properties are due to be completed in phases between January 2024 and September 2024.  Each phase will be advertised separately to ensure that extended waiting times are not to be expected by nominated applicants </w:t>
            </w:r>
          </w:p>
        </w:tc>
      </w:tr>
      <w:tr w:rsidR="0014042C" w14:paraId="4F69BA9B" w14:textId="77777777" w:rsidTr="006E71B0">
        <w:tc>
          <w:tcPr>
            <w:tcW w:w="2122" w:type="dxa"/>
          </w:tcPr>
          <w:p w14:paraId="49B9FEC6" w14:textId="77777777" w:rsidR="0014042C" w:rsidRPr="00AA5AE3" w:rsidRDefault="0014042C">
            <w:pPr>
              <w:rPr>
                <w:rFonts w:ascii="Arial" w:hAnsi="Arial" w:cs="Arial"/>
                <w:b/>
                <w:bCs/>
                <w:lang w:val="en-US"/>
              </w:rPr>
            </w:pPr>
            <w:r>
              <w:rPr>
                <w:rFonts w:ascii="Arial" w:hAnsi="Arial" w:cs="Arial"/>
                <w:b/>
                <w:bCs/>
                <w:lang w:val="en-US"/>
              </w:rPr>
              <w:t xml:space="preserve">Units </w:t>
            </w:r>
          </w:p>
        </w:tc>
        <w:tc>
          <w:tcPr>
            <w:tcW w:w="6894" w:type="dxa"/>
          </w:tcPr>
          <w:p w14:paraId="7F6FC206" w14:textId="77777777" w:rsidR="0014042C" w:rsidRDefault="00A156E4">
            <w:pPr>
              <w:rPr>
                <w:rFonts w:ascii="Arial" w:hAnsi="Arial" w:cs="Arial"/>
                <w:lang w:val="en-US"/>
              </w:rPr>
            </w:pPr>
            <w:r>
              <w:rPr>
                <w:rFonts w:ascii="Arial" w:hAnsi="Arial" w:cs="Arial"/>
                <w:lang w:val="en-US"/>
              </w:rPr>
              <w:t>56 Homes including</w:t>
            </w:r>
          </w:p>
          <w:p w14:paraId="7D73670C" w14:textId="77777777" w:rsidR="00A156E4" w:rsidRDefault="00A156E4">
            <w:pPr>
              <w:rPr>
                <w:rFonts w:ascii="Arial" w:hAnsi="Arial" w:cs="Arial"/>
                <w:lang w:val="en-US"/>
              </w:rPr>
            </w:pPr>
          </w:p>
          <w:p w14:paraId="4F4535C3" w14:textId="77777777" w:rsidR="00A156E4" w:rsidRDefault="00A156E4">
            <w:pPr>
              <w:rPr>
                <w:rFonts w:ascii="Arial" w:hAnsi="Arial" w:cs="Arial"/>
                <w:lang w:val="en-US"/>
              </w:rPr>
            </w:pPr>
            <w:r>
              <w:rPr>
                <w:rFonts w:ascii="Arial" w:hAnsi="Arial" w:cs="Arial"/>
                <w:lang w:val="en-US"/>
              </w:rPr>
              <w:t>36 x 2 Bed Terraced Houses</w:t>
            </w:r>
          </w:p>
          <w:p w14:paraId="2D2C642A" w14:textId="77777777" w:rsidR="00A156E4" w:rsidRDefault="00A156E4">
            <w:pPr>
              <w:rPr>
                <w:rFonts w:ascii="Arial" w:hAnsi="Arial" w:cs="Arial"/>
                <w:lang w:val="en-US"/>
              </w:rPr>
            </w:pPr>
            <w:r>
              <w:rPr>
                <w:rFonts w:ascii="Arial" w:hAnsi="Arial" w:cs="Arial"/>
                <w:lang w:val="en-US"/>
              </w:rPr>
              <w:t>18 x 3 Bed Semi Detached houses</w:t>
            </w:r>
          </w:p>
          <w:p w14:paraId="1B0B6F6F" w14:textId="77777777" w:rsidR="00A156E4" w:rsidRDefault="00A156E4">
            <w:pPr>
              <w:rPr>
                <w:rFonts w:ascii="Arial" w:hAnsi="Arial" w:cs="Arial"/>
                <w:lang w:val="en-US"/>
              </w:rPr>
            </w:pPr>
            <w:r>
              <w:rPr>
                <w:rFonts w:ascii="Arial" w:hAnsi="Arial" w:cs="Arial"/>
                <w:lang w:val="en-US"/>
              </w:rPr>
              <w:t xml:space="preserve">2 x 3 bed Detached Houses </w:t>
            </w:r>
          </w:p>
          <w:p w14:paraId="20BEB670" w14:textId="77777777" w:rsidR="00A156E4" w:rsidRPr="00632425" w:rsidRDefault="00A156E4">
            <w:pPr>
              <w:rPr>
                <w:rFonts w:ascii="Arial" w:hAnsi="Arial" w:cs="Arial"/>
                <w:lang w:val="en-US"/>
              </w:rPr>
            </w:pPr>
          </w:p>
        </w:tc>
      </w:tr>
      <w:tr w:rsidR="006E71B0" w14:paraId="3989E525" w14:textId="77777777" w:rsidTr="006E71B0">
        <w:tc>
          <w:tcPr>
            <w:tcW w:w="2122" w:type="dxa"/>
          </w:tcPr>
          <w:p w14:paraId="2628B6EF" w14:textId="77777777" w:rsidR="006E71B0" w:rsidRPr="00AA5AE3" w:rsidRDefault="00144241">
            <w:pPr>
              <w:rPr>
                <w:rFonts w:ascii="Arial" w:hAnsi="Arial" w:cs="Arial"/>
                <w:b/>
                <w:bCs/>
                <w:lang w:val="en-US"/>
              </w:rPr>
            </w:pPr>
            <w:r w:rsidRPr="00AA5AE3">
              <w:rPr>
                <w:rFonts w:ascii="Arial" w:hAnsi="Arial" w:cs="Arial"/>
                <w:b/>
                <w:bCs/>
                <w:lang w:val="en-US"/>
              </w:rPr>
              <w:t>Reason for Local Lettings plan</w:t>
            </w:r>
          </w:p>
        </w:tc>
        <w:tc>
          <w:tcPr>
            <w:tcW w:w="6894" w:type="dxa"/>
          </w:tcPr>
          <w:p w14:paraId="02FEB483" w14:textId="77777777" w:rsidR="00144241" w:rsidRPr="00632425" w:rsidRDefault="00144241" w:rsidP="00144241">
            <w:pPr>
              <w:rPr>
                <w:rFonts w:ascii="Arial" w:hAnsi="Arial" w:cs="Arial"/>
              </w:rPr>
            </w:pPr>
            <w:r w:rsidRPr="00632425">
              <w:rPr>
                <w:rFonts w:ascii="Arial" w:hAnsi="Arial" w:cs="Arial"/>
              </w:rPr>
              <w:t>Emh homes and the council are working together to help achieve a balanced community and support greater community cohesion and sustainability; in doing so contribute to making the area an even better place to live, work and visit.</w:t>
            </w:r>
          </w:p>
          <w:p w14:paraId="005FB639" w14:textId="77777777" w:rsidR="00144241" w:rsidRPr="00632425" w:rsidRDefault="00144241" w:rsidP="00144241">
            <w:pPr>
              <w:rPr>
                <w:rFonts w:ascii="Arial" w:hAnsi="Arial" w:cs="Arial"/>
              </w:rPr>
            </w:pPr>
          </w:p>
          <w:p w14:paraId="72DE57C3" w14:textId="77777777" w:rsidR="00CD612A" w:rsidRPr="00632425" w:rsidRDefault="00AA5AE3" w:rsidP="00144241">
            <w:pPr>
              <w:rPr>
                <w:rFonts w:ascii="Arial" w:hAnsi="Arial" w:cs="Arial"/>
              </w:rPr>
            </w:pPr>
            <w:r w:rsidRPr="00632425">
              <w:rPr>
                <w:rFonts w:ascii="Arial" w:hAnsi="Arial" w:cs="Arial"/>
              </w:rPr>
              <w:t>Whil</w:t>
            </w:r>
            <w:r>
              <w:rPr>
                <w:rFonts w:ascii="Arial" w:hAnsi="Arial" w:cs="Arial"/>
              </w:rPr>
              <w:t>s</w:t>
            </w:r>
            <w:r w:rsidRPr="00632425">
              <w:rPr>
                <w:rFonts w:ascii="Arial" w:hAnsi="Arial" w:cs="Arial"/>
              </w:rPr>
              <w:t>t</w:t>
            </w:r>
            <w:r w:rsidR="00CD612A" w:rsidRPr="00632425">
              <w:rPr>
                <w:rFonts w:ascii="Arial" w:hAnsi="Arial" w:cs="Arial"/>
              </w:rPr>
              <w:t xml:space="preserve"> Mansfield’s housing allocation scheme will remain the overarching policy against which allocations are made, this local letting plan outlines how nominations will be made outside of the principal policy for the initial lettings to this new development to ensure that a settled community is </w:t>
            </w:r>
            <w:r w:rsidR="00632425" w:rsidRPr="00632425">
              <w:rPr>
                <w:rFonts w:ascii="Arial" w:hAnsi="Arial" w:cs="Arial"/>
              </w:rPr>
              <w:t>encouraged.</w:t>
            </w:r>
            <w:r w:rsidR="00CD612A" w:rsidRPr="00632425">
              <w:rPr>
                <w:rFonts w:ascii="Arial" w:hAnsi="Arial" w:cs="Arial"/>
              </w:rPr>
              <w:t xml:space="preserve"> </w:t>
            </w:r>
          </w:p>
          <w:p w14:paraId="56D9C75F" w14:textId="77777777" w:rsidR="00CD612A" w:rsidRPr="00632425" w:rsidRDefault="00CD612A" w:rsidP="00144241">
            <w:pPr>
              <w:rPr>
                <w:rFonts w:ascii="Arial" w:hAnsi="Arial" w:cs="Arial"/>
              </w:rPr>
            </w:pPr>
          </w:p>
          <w:p w14:paraId="7BC27AF9" w14:textId="77777777" w:rsidR="00144241" w:rsidRPr="00632425" w:rsidRDefault="00CD612A" w:rsidP="00144241">
            <w:pPr>
              <w:rPr>
                <w:rFonts w:ascii="Arial" w:hAnsi="Arial" w:cs="Arial"/>
              </w:rPr>
            </w:pPr>
            <w:r w:rsidRPr="00632425">
              <w:rPr>
                <w:rFonts w:ascii="Arial" w:hAnsi="Arial" w:cs="Arial"/>
              </w:rPr>
              <w:t xml:space="preserve">We would like to ensure this development caters for a variety of residents as opposed to concentrations of households with particular support needs. </w:t>
            </w:r>
          </w:p>
          <w:p w14:paraId="6EF49F23" w14:textId="77777777" w:rsidR="006E71B0" w:rsidRPr="00632425" w:rsidRDefault="006E71B0" w:rsidP="00144241">
            <w:pPr>
              <w:rPr>
                <w:rFonts w:ascii="Arial" w:hAnsi="Arial" w:cs="Arial"/>
                <w:lang w:val="en-US"/>
              </w:rPr>
            </w:pPr>
          </w:p>
        </w:tc>
      </w:tr>
      <w:tr w:rsidR="006E71B0" w14:paraId="6DB46ECE" w14:textId="77777777" w:rsidTr="006E71B0">
        <w:tc>
          <w:tcPr>
            <w:tcW w:w="2122" w:type="dxa"/>
          </w:tcPr>
          <w:p w14:paraId="7A2897C7" w14:textId="77777777" w:rsidR="006E71B0" w:rsidRPr="00AA5AE3" w:rsidRDefault="00CD612A">
            <w:pPr>
              <w:rPr>
                <w:rFonts w:ascii="Arial" w:hAnsi="Arial" w:cs="Arial"/>
                <w:b/>
                <w:bCs/>
                <w:lang w:val="en-US"/>
              </w:rPr>
            </w:pPr>
            <w:r w:rsidRPr="00AA5AE3">
              <w:rPr>
                <w:rFonts w:ascii="Arial" w:hAnsi="Arial" w:cs="Arial"/>
                <w:b/>
                <w:bCs/>
                <w:lang w:val="en-US"/>
              </w:rPr>
              <w:t>Legal Framework</w:t>
            </w:r>
          </w:p>
        </w:tc>
        <w:tc>
          <w:tcPr>
            <w:tcW w:w="6894" w:type="dxa"/>
          </w:tcPr>
          <w:p w14:paraId="0253973F" w14:textId="77777777" w:rsidR="00632425" w:rsidRPr="00632425" w:rsidRDefault="00632425" w:rsidP="00632425">
            <w:pPr>
              <w:rPr>
                <w:rFonts w:ascii="Arial" w:hAnsi="Arial" w:cs="Arial"/>
              </w:rPr>
            </w:pPr>
            <w:r w:rsidRPr="00632425">
              <w:rPr>
                <w:rFonts w:ascii="Arial" w:hAnsi="Arial" w:cs="Arial"/>
              </w:rPr>
              <w:t xml:space="preserve">This approach complies with the government’s guidance issues through the Fair and Flexible statutory guidance on social housing allocations for local authorities in England (2009).  This guidance allows Councils and housing providers to use Local Lettings Policies to achieve a wide range of policy objectives.       </w:t>
            </w:r>
          </w:p>
          <w:p w14:paraId="5BDDF95E" w14:textId="77777777" w:rsidR="006E71B0" w:rsidRPr="00632425" w:rsidRDefault="006E71B0">
            <w:pPr>
              <w:rPr>
                <w:rFonts w:ascii="Arial" w:hAnsi="Arial" w:cs="Arial"/>
              </w:rPr>
            </w:pPr>
          </w:p>
        </w:tc>
      </w:tr>
      <w:tr w:rsidR="006E71B0" w14:paraId="13285D2A" w14:textId="77777777" w:rsidTr="006E71B0">
        <w:tc>
          <w:tcPr>
            <w:tcW w:w="2122" w:type="dxa"/>
          </w:tcPr>
          <w:p w14:paraId="3E0BB5A5" w14:textId="77777777" w:rsidR="006E71B0" w:rsidRPr="00AA5AE3" w:rsidRDefault="00DB162D">
            <w:pPr>
              <w:rPr>
                <w:rFonts w:ascii="Arial" w:hAnsi="Arial" w:cs="Arial"/>
                <w:b/>
                <w:bCs/>
                <w:lang w:val="en-US"/>
              </w:rPr>
            </w:pPr>
            <w:r w:rsidRPr="00AA5AE3">
              <w:rPr>
                <w:rFonts w:ascii="Arial" w:hAnsi="Arial" w:cs="Arial"/>
                <w:b/>
                <w:bCs/>
                <w:lang w:val="en-US"/>
              </w:rPr>
              <w:t xml:space="preserve">Local Lettings policy Criteria </w:t>
            </w:r>
          </w:p>
        </w:tc>
        <w:tc>
          <w:tcPr>
            <w:tcW w:w="6894" w:type="dxa"/>
          </w:tcPr>
          <w:p w14:paraId="6244487E" w14:textId="77777777" w:rsidR="00632425" w:rsidRPr="00632425" w:rsidRDefault="00632425" w:rsidP="00632425">
            <w:pPr>
              <w:rPr>
                <w:rFonts w:ascii="Arial" w:hAnsi="Arial" w:cs="Arial"/>
              </w:rPr>
            </w:pPr>
            <w:r w:rsidRPr="00632425">
              <w:rPr>
                <w:rFonts w:ascii="Arial" w:hAnsi="Arial" w:cs="Arial"/>
              </w:rPr>
              <w:t>This applies to all rented properties on this development for re-letting.</w:t>
            </w:r>
          </w:p>
          <w:p w14:paraId="709DE389" w14:textId="77777777" w:rsidR="00632425" w:rsidRPr="00632425" w:rsidRDefault="00632425" w:rsidP="00632425">
            <w:pPr>
              <w:rPr>
                <w:rFonts w:ascii="Arial" w:hAnsi="Arial" w:cs="Arial"/>
              </w:rPr>
            </w:pPr>
          </w:p>
          <w:p w14:paraId="742EEFD5" w14:textId="77777777" w:rsidR="00632425" w:rsidRDefault="00632425" w:rsidP="00632425">
            <w:pPr>
              <w:rPr>
                <w:rFonts w:ascii="Arial" w:hAnsi="Arial" w:cs="Arial"/>
              </w:rPr>
            </w:pPr>
            <w:r w:rsidRPr="00632425">
              <w:rPr>
                <w:rFonts w:ascii="Arial" w:hAnsi="Arial" w:cs="Arial"/>
              </w:rPr>
              <w:t xml:space="preserve">emh homes and Mansfield council are proposing a local lettings policy which reflects key features in order to ensure a sustainable, </w:t>
            </w:r>
            <w:r w:rsidR="00AA5AE3" w:rsidRPr="00632425">
              <w:rPr>
                <w:rFonts w:ascii="Arial" w:hAnsi="Arial" w:cs="Arial"/>
              </w:rPr>
              <w:t>mixed,</w:t>
            </w:r>
            <w:r w:rsidRPr="00632425">
              <w:rPr>
                <w:rFonts w:ascii="Arial" w:hAnsi="Arial" w:cs="Arial"/>
              </w:rPr>
              <w:t xml:space="preserve"> and balanced community on this development.</w:t>
            </w:r>
          </w:p>
          <w:p w14:paraId="47B3C254" w14:textId="77777777" w:rsidR="00AA5AE3" w:rsidRPr="00AA5AE3" w:rsidRDefault="00AA5AE3" w:rsidP="00632425">
            <w:pPr>
              <w:rPr>
                <w:rFonts w:ascii="Arial" w:hAnsi="Arial" w:cs="Arial"/>
              </w:rPr>
            </w:pPr>
          </w:p>
          <w:p w14:paraId="5632E569" w14:textId="77777777" w:rsidR="00AA5AE3" w:rsidRPr="00632425" w:rsidRDefault="00AA5AE3" w:rsidP="00632425">
            <w:pPr>
              <w:rPr>
                <w:rFonts w:ascii="Arial" w:hAnsi="Arial" w:cs="Arial"/>
              </w:rPr>
            </w:pPr>
            <w:r w:rsidRPr="00AA5AE3">
              <w:rPr>
                <w:rFonts w:ascii="Arial" w:hAnsi="Arial" w:cs="Arial"/>
              </w:rPr>
              <w:t>In order to develop a sustainable mix of occupants</w:t>
            </w:r>
          </w:p>
          <w:p w14:paraId="7997BF43" w14:textId="77777777" w:rsidR="00632425" w:rsidRPr="00632425" w:rsidRDefault="00632425" w:rsidP="00632425">
            <w:pPr>
              <w:rPr>
                <w:rFonts w:ascii="Arial" w:hAnsi="Arial" w:cs="Arial"/>
              </w:rPr>
            </w:pPr>
          </w:p>
          <w:p w14:paraId="4D91708A" w14:textId="77777777" w:rsidR="00632425" w:rsidRPr="00AA5AE3" w:rsidRDefault="00632425" w:rsidP="00AA5AE3">
            <w:pPr>
              <w:pStyle w:val="ListParagraph"/>
              <w:numPr>
                <w:ilvl w:val="0"/>
                <w:numId w:val="2"/>
              </w:numPr>
              <w:rPr>
                <w:rFonts w:ascii="Arial" w:hAnsi="Arial" w:cs="Arial"/>
              </w:rPr>
            </w:pPr>
            <w:r w:rsidRPr="00AA5AE3">
              <w:rPr>
                <w:rFonts w:ascii="Arial" w:hAnsi="Arial" w:cs="Arial"/>
              </w:rPr>
              <w:t>Up to 50% of lets to each of the houses will be allocated to households where the main and/or joint applicant are in employment/training.</w:t>
            </w:r>
          </w:p>
          <w:p w14:paraId="5F973A11" w14:textId="77777777" w:rsidR="00632425" w:rsidRPr="00632425" w:rsidRDefault="00632425" w:rsidP="00632425">
            <w:pPr>
              <w:rPr>
                <w:rFonts w:ascii="Arial" w:hAnsi="Arial" w:cs="Arial"/>
              </w:rPr>
            </w:pPr>
          </w:p>
          <w:p w14:paraId="479B9982" w14:textId="77777777" w:rsidR="00632425" w:rsidRPr="0014042C" w:rsidRDefault="0014042C" w:rsidP="0014042C">
            <w:pPr>
              <w:pStyle w:val="ListParagraph"/>
              <w:numPr>
                <w:ilvl w:val="0"/>
                <w:numId w:val="2"/>
              </w:numPr>
              <w:rPr>
                <w:rFonts w:ascii="Arial" w:hAnsi="Arial" w:cs="Arial"/>
              </w:rPr>
            </w:pPr>
            <w:r w:rsidRPr="0014042C">
              <w:rPr>
                <w:rFonts w:ascii="Arial" w:hAnsi="Arial" w:cs="Arial"/>
              </w:rPr>
              <w:t>50% of the 2 bed houses will be let to families with a maximum of 2 children.</w:t>
            </w:r>
          </w:p>
          <w:p w14:paraId="375CE951" w14:textId="77777777" w:rsidR="0014042C" w:rsidRDefault="0014042C" w:rsidP="0014042C">
            <w:pPr>
              <w:pStyle w:val="ListParagraph"/>
              <w:numPr>
                <w:ilvl w:val="0"/>
                <w:numId w:val="2"/>
              </w:numPr>
              <w:rPr>
                <w:rFonts w:ascii="Arial" w:hAnsi="Arial" w:cs="Arial"/>
              </w:rPr>
            </w:pPr>
            <w:r w:rsidRPr="0014042C">
              <w:rPr>
                <w:rFonts w:ascii="Arial" w:hAnsi="Arial" w:cs="Arial"/>
              </w:rPr>
              <w:t>50% of the 3 bed houses will be let to families with a maximum of 3 children.</w:t>
            </w:r>
          </w:p>
          <w:p w14:paraId="026FA125" w14:textId="77777777" w:rsidR="00A156E4" w:rsidRPr="00A156E4" w:rsidRDefault="00A156E4" w:rsidP="00A156E4">
            <w:pPr>
              <w:rPr>
                <w:rFonts w:ascii="Arial" w:hAnsi="Arial" w:cs="Arial"/>
              </w:rPr>
            </w:pPr>
            <w:r>
              <w:rPr>
                <w:rFonts w:ascii="Arial" w:hAnsi="Arial" w:cs="Arial"/>
              </w:rPr>
              <w:t xml:space="preserve">All homes </w:t>
            </w:r>
            <w:r w:rsidRPr="00A156E4">
              <w:rPr>
                <w:rFonts w:ascii="Arial" w:hAnsi="Arial" w:cs="Arial"/>
              </w:rPr>
              <w:t>will be advertised through the Council’s CBL system with the additional eligibility criteria as set out in this LLP clearly stated in the advert.</w:t>
            </w:r>
          </w:p>
          <w:p w14:paraId="0F85BE51" w14:textId="77777777" w:rsidR="00A156E4" w:rsidRPr="00A156E4" w:rsidRDefault="00A156E4" w:rsidP="00A156E4">
            <w:pPr>
              <w:rPr>
                <w:rFonts w:ascii="Arial" w:hAnsi="Arial" w:cs="Arial"/>
              </w:rPr>
            </w:pPr>
          </w:p>
          <w:p w14:paraId="18E2F3E9" w14:textId="77777777" w:rsidR="00A156E4" w:rsidRDefault="00A156E4" w:rsidP="00A156E4">
            <w:pPr>
              <w:rPr>
                <w:rFonts w:ascii="Arial" w:hAnsi="Arial" w:cs="Arial"/>
              </w:rPr>
            </w:pPr>
            <w:r w:rsidRPr="00A156E4">
              <w:rPr>
                <w:rFonts w:ascii="Arial" w:hAnsi="Arial" w:cs="Arial"/>
              </w:rPr>
              <w:t>Any local connection criteria will be applied in accordance with the Council’s Allocation Policy.</w:t>
            </w:r>
          </w:p>
          <w:p w14:paraId="55B3EAE4" w14:textId="77777777" w:rsidR="00A156E4" w:rsidRPr="00A156E4" w:rsidRDefault="00A156E4" w:rsidP="00A156E4">
            <w:pPr>
              <w:rPr>
                <w:rFonts w:ascii="Arial" w:hAnsi="Arial" w:cs="Arial"/>
              </w:rPr>
            </w:pPr>
          </w:p>
          <w:p w14:paraId="7246FDF9" w14:textId="77777777" w:rsidR="00A156E4" w:rsidRPr="00A156E4" w:rsidRDefault="00A156E4" w:rsidP="00A156E4">
            <w:pPr>
              <w:rPr>
                <w:rFonts w:ascii="Arial" w:hAnsi="Arial" w:cs="Arial"/>
              </w:rPr>
            </w:pPr>
            <w:r w:rsidRPr="00A156E4">
              <w:rPr>
                <w:rFonts w:ascii="Arial" w:hAnsi="Arial" w:cs="Arial"/>
              </w:rPr>
              <w:t xml:space="preserve">In the event of insufficient bids from applicants who meet the above criteria following two consecutive advertising rounds, </w:t>
            </w:r>
          </w:p>
          <w:p w14:paraId="288A2ECC" w14:textId="77777777" w:rsidR="00632425" w:rsidRPr="00A156E4" w:rsidRDefault="00632425" w:rsidP="00632425">
            <w:pPr>
              <w:rPr>
                <w:rFonts w:ascii="Arial" w:hAnsi="Arial" w:cs="Arial"/>
              </w:rPr>
            </w:pPr>
            <w:r w:rsidRPr="00A156E4">
              <w:rPr>
                <w:rFonts w:ascii="Arial" w:hAnsi="Arial" w:cs="Arial"/>
              </w:rPr>
              <w:t xml:space="preserve">then lettings will be made under the normal allocations procedures under </w:t>
            </w:r>
            <w:r w:rsidR="00AA5AE3" w:rsidRPr="00A156E4">
              <w:rPr>
                <w:rFonts w:ascii="Arial" w:hAnsi="Arial" w:cs="Arial"/>
              </w:rPr>
              <w:t>Mansfield’s allocation</w:t>
            </w:r>
            <w:r w:rsidRPr="00A156E4">
              <w:rPr>
                <w:rFonts w:ascii="Arial" w:hAnsi="Arial" w:cs="Arial"/>
              </w:rPr>
              <w:t xml:space="preserve"> Policy.</w:t>
            </w:r>
          </w:p>
          <w:p w14:paraId="58320CF8" w14:textId="77777777" w:rsidR="00632425" w:rsidRPr="00632425" w:rsidRDefault="00632425" w:rsidP="00632425">
            <w:pPr>
              <w:rPr>
                <w:rFonts w:ascii="Arial" w:hAnsi="Arial" w:cs="Arial"/>
                <w:lang w:val="en-US"/>
              </w:rPr>
            </w:pPr>
          </w:p>
        </w:tc>
      </w:tr>
      <w:tr w:rsidR="00AA5AE3" w14:paraId="0CDF3BC5" w14:textId="77777777" w:rsidTr="006E71B0">
        <w:tc>
          <w:tcPr>
            <w:tcW w:w="2122" w:type="dxa"/>
          </w:tcPr>
          <w:p w14:paraId="0E8ACA49" w14:textId="77777777" w:rsidR="00AA5AE3" w:rsidRPr="00AA5AE3" w:rsidRDefault="00AA5AE3">
            <w:pPr>
              <w:rPr>
                <w:rFonts w:ascii="Arial" w:hAnsi="Arial" w:cs="Arial"/>
                <w:b/>
                <w:bCs/>
                <w:lang w:val="en-US"/>
              </w:rPr>
            </w:pPr>
            <w:r>
              <w:rPr>
                <w:rFonts w:ascii="Arial" w:hAnsi="Arial" w:cs="Arial"/>
                <w:b/>
                <w:bCs/>
                <w:lang w:val="en-US"/>
              </w:rPr>
              <w:lastRenderedPageBreak/>
              <w:t xml:space="preserve">Monitoring and review </w:t>
            </w:r>
          </w:p>
        </w:tc>
        <w:tc>
          <w:tcPr>
            <w:tcW w:w="6894" w:type="dxa"/>
          </w:tcPr>
          <w:p w14:paraId="7D7F0491" w14:textId="77777777" w:rsidR="00AA5AE3" w:rsidRPr="0014042C" w:rsidRDefault="0014042C" w:rsidP="00632425">
            <w:pPr>
              <w:rPr>
                <w:rFonts w:ascii="Arial" w:hAnsi="Arial" w:cs="Arial"/>
              </w:rPr>
            </w:pPr>
            <w:r w:rsidRPr="0014042C">
              <w:rPr>
                <w:rFonts w:ascii="Arial" w:hAnsi="Arial" w:cs="Arial"/>
              </w:rPr>
              <w:t>This Local Lettings Plan (LLP) will apply to first lets on practical completion of this scheme only. All future vacancies will be allocated in line with the overarching Homefinder Allocation Scheme unless a revised and evidence-based LLP is proposed and agreed.</w:t>
            </w:r>
          </w:p>
        </w:tc>
      </w:tr>
      <w:tr w:rsidR="006E71B0" w14:paraId="48283AE9" w14:textId="77777777" w:rsidTr="006E71B0">
        <w:tc>
          <w:tcPr>
            <w:tcW w:w="2122" w:type="dxa"/>
          </w:tcPr>
          <w:p w14:paraId="6B04A93D" w14:textId="77777777" w:rsidR="006E71B0" w:rsidRPr="00AA5AE3" w:rsidRDefault="00AA5AE3">
            <w:pPr>
              <w:rPr>
                <w:rFonts w:ascii="Arial" w:hAnsi="Arial" w:cs="Arial"/>
                <w:b/>
                <w:bCs/>
                <w:lang w:val="en-US"/>
              </w:rPr>
            </w:pPr>
            <w:r w:rsidRPr="00AA5AE3">
              <w:rPr>
                <w:rFonts w:ascii="Arial" w:hAnsi="Arial" w:cs="Arial"/>
                <w:b/>
                <w:bCs/>
                <w:lang w:val="en-US"/>
              </w:rPr>
              <w:t xml:space="preserve">Equal Opportunities </w:t>
            </w:r>
          </w:p>
        </w:tc>
        <w:tc>
          <w:tcPr>
            <w:tcW w:w="6894" w:type="dxa"/>
          </w:tcPr>
          <w:p w14:paraId="2CDD7D9A" w14:textId="77777777" w:rsidR="006E71B0" w:rsidRPr="00AA5AE3" w:rsidRDefault="00AA5AE3">
            <w:pPr>
              <w:rPr>
                <w:rFonts w:ascii="Arial" w:hAnsi="Arial" w:cs="Arial"/>
                <w:lang w:val="en-US"/>
              </w:rPr>
            </w:pPr>
            <w:r w:rsidRPr="00AA5AE3">
              <w:rPr>
                <w:rFonts w:ascii="Arial" w:hAnsi="Arial" w:cs="Arial"/>
              </w:rPr>
              <w:t xml:space="preserve">In producing this Local Lettings Plan, emh homes and </w:t>
            </w:r>
            <w:r w:rsidR="0014042C" w:rsidRPr="00AA5AE3">
              <w:rPr>
                <w:rFonts w:ascii="Arial" w:hAnsi="Arial" w:cs="Arial"/>
              </w:rPr>
              <w:t>Mansfield Council</w:t>
            </w:r>
            <w:r w:rsidRPr="00AA5AE3">
              <w:rPr>
                <w:rFonts w:ascii="Arial" w:hAnsi="Arial" w:cs="Arial"/>
              </w:rPr>
              <w:t xml:space="preserve"> are required to comply with equality legislation, and, ensure there is no unlawful discrimination in the allocations of dwellings</w:t>
            </w:r>
          </w:p>
        </w:tc>
      </w:tr>
      <w:tr w:rsidR="006E71B0" w14:paraId="29067564" w14:textId="77777777" w:rsidTr="006E71B0">
        <w:tc>
          <w:tcPr>
            <w:tcW w:w="2122" w:type="dxa"/>
          </w:tcPr>
          <w:p w14:paraId="4A68DECD" w14:textId="77777777" w:rsidR="00AA5AE3" w:rsidRPr="007D558C" w:rsidRDefault="00AA5AE3" w:rsidP="00AA5AE3">
            <w:pPr>
              <w:rPr>
                <w:rFonts w:ascii="Helvetica" w:hAnsi="Helvetica" w:cs="Helvetica"/>
                <w:b/>
                <w:sz w:val="21"/>
                <w:szCs w:val="21"/>
              </w:rPr>
            </w:pPr>
            <w:r w:rsidRPr="007D558C">
              <w:rPr>
                <w:rFonts w:ascii="Helvetica" w:hAnsi="Helvetica" w:cs="Helvetica"/>
                <w:b/>
                <w:sz w:val="21"/>
                <w:szCs w:val="21"/>
              </w:rPr>
              <w:t xml:space="preserve">Contact </w:t>
            </w:r>
            <w:r w:rsidR="00A156E4" w:rsidRPr="007D558C">
              <w:rPr>
                <w:rFonts w:ascii="Helvetica" w:hAnsi="Helvetica" w:cs="Helvetica"/>
                <w:b/>
                <w:sz w:val="21"/>
                <w:szCs w:val="21"/>
              </w:rPr>
              <w:t>details.</w:t>
            </w:r>
          </w:p>
          <w:p w14:paraId="3438365D" w14:textId="77777777" w:rsidR="006E71B0" w:rsidRPr="006E71B0" w:rsidRDefault="006E71B0">
            <w:pPr>
              <w:rPr>
                <w:rFonts w:ascii="Arial" w:hAnsi="Arial" w:cs="Arial"/>
                <w:lang w:val="en-US"/>
              </w:rPr>
            </w:pPr>
          </w:p>
        </w:tc>
        <w:tc>
          <w:tcPr>
            <w:tcW w:w="6894" w:type="dxa"/>
          </w:tcPr>
          <w:p w14:paraId="6B8A6A18" w14:textId="77777777" w:rsidR="00AA5AE3" w:rsidRDefault="00AA5AE3" w:rsidP="00AA5AE3">
            <w:pPr>
              <w:rPr>
                <w:rFonts w:ascii="Helvetica" w:hAnsi="Helvetica" w:cs="Helvetica"/>
                <w:sz w:val="21"/>
                <w:szCs w:val="21"/>
              </w:rPr>
            </w:pPr>
            <w:r w:rsidRPr="007D558C">
              <w:rPr>
                <w:rFonts w:ascii="Helvetica" w:hAnsi="Helvetica" w:cs="Helvetica"/>
                <w:sz w:val="21"/>
                <w:szCs w:val="21"/>
              </w:rPr>
              <w:t>Any queries about this Local Lettings Policy can be made to:</w:t>
            </w:r>
          </w:p>
          <w:p w14:paraId="38151288" w14:textId="77777777" w:rsidR="0014042C" w:rsidRPr="007D558C" w:rsidRDefault="0014042C" w:rsidP="00AA5AE3">
            <w:pPr>
              <w:rPr>
                <w:rFonts w:ascii="Helvetica" w:hAnsi="Helvetica" w:cs="Helvetica"/>
                <w:sz w:val="21"/>
                <w:szCs w:val="21"/>
              </w:rPr>
            </w:pPr>
          </w:p>
          <w:p w14:paraId="1B74AFF8" w14:textId="77777777" w:rsidR="00AA5AE3" w:rsidRPr="00103FD9" w:rsidRDefault="00AA5AE3" w:rsidP="00AA5AE3">
            <w:pPr>
              <w:rPr>
                <w:rFonts w:ascii="Helvetica" w:hAnsi="Helvetica" w:cs="Helvetica"/>
                <w:color w:val="000000" w:themeColor="text1"/>
                <w:sz w:val="21"/>
                <w:szCs w:val="21"/>
              </w:rPr>
            </w:pPr>
            <w:r w:rsidRPr="00103FD9">
              <w:rPr>
                <w:rFonts w:ascii="Helvetica" w:hAnsi="Helvetica" w:cs="Helvetica"/>
                <w:color w:val="000000" w:themeColor="text1"/>
                <w:sz w:val="21"/>
                <w:szCs w:val="21"/>
              </w:rPr>
              <w:t>Lorraine Baxter</w:t>
            </w:r>
            <w:r>
              <w:rPr>
                <w:rFonts w:ascii="Helvetica" w:hAnsi="Helvetica" w:cs="Helvetica"/>
                <w:color w:val="000000" w:themeColor="text1"/>
                <w:sz w:val="21"/>
                <w:szCs w:val="21"/>
              </w:rPr>
              <w:t>:</w:t>
            </w:r>
            <w:r w:rsidRPr="00103FD9">
              <w:rPr>
                <w:rFonts w:ascii="Helvetica" w:hAnsi="Helvetica" w:cs="Helvetica"/>
                <w:color w:val="000000" w:themeColor="text1"/>
                <w:sz w:val="21"/>
                <w:szCs w:val="21"/>
              </w:rPr>
              <w:t xml:space="preserve"> Allocations </w:t>
            </w:r>
            <w:r>
              <w:rPr>
                <w:rFonts w:ascii="Helvetica" w:hAnsi="Helvetica" w:cs="Helvetica"/>
                <w:color w:val="000000" w:themeColor="text1"/>
                <w:sz w:val="21"/>
                <w:szCs w:val="21"/>
              </w:rPr>
              <w:t xml:space="preserve">Team Leader: </w:t>
            </w:r>
            <w:hyperlink r:id="rId7" w:history="1">
              <w:r w:rsidRPr="007E1D8B">
                <w:rPr>
                  <w:rStyle w:val="Hyperlink"/>
                  <w:rFonts w:ascii="Helvetica" w:hAnsi="Helvetica" w:cs="Helvetica"/>
                  <w:sz w:val="21"/>
                  <w:szCs w:val="21"/>
                </w:rPr>
                <w:t>lorraine.baxter@emh.co.uk</w:t>
              </w:r>
            </w:hyperlink>
            <w:r>
              <w:rPr>
                <w:rFonts w:ascii="Helvetica" w:hAnsi="Helvetica" w:cs="Helvetica"/>
                <w:color w:val="000000" w:themeColor="text1"/>
                <w:sz w:val="21"/>
                <w:szCs w:val="21"/>
              </w:rPr>
              <w:t xml:space="preserve"> : </w:t>
            </w:r>
            <w:r w:rsidRPr="00103FD9">
              <w:rPr>
                <w:rFonts w:ascii="Helvetica" w:hAnsi="Helvetica" w:cs="Helvetica"/>
                <w:color w:val="000000" w:themeColor="text1"/>
                <w:sz w:val="21"/>
                <w:szCs w:val="21"/>
              </w:rPr>
              <w:t>0300 123 6000</w:t>
            </w:r>
          </w:p>
          <w:p w14:paraId="668F7849" w14:textId="77777777" w:rsidR="006E71B0" w:rsidRPr="006E71B0" w:rsidRDefault="006E71B0">
            <w:pPr>
              <w:rPr>
                <w:rFonts w:ascii="Arial" w:hAnsi="Arial" w:cs="Arial"/>
                <w:lang w:val="en-US"/>
              </w:rPr>
            </w:pPr>
          </w:p>
        </w:tc>
      </w:tr>
    </w:tbl>
    <w:p w14:paraId="77D2543E" w14:textId="77777777" w:rsidR="006E71B0" w:rsidRDefault="006E71B0">
      <w:pPr>
        <w:rPr>
          <w:b/>
          <w:bCs/>
          <w:sz w:val="32"/>
          <w:szCs w:val="32"/>
          <w:lang w:val="en-US"/>
        </w:rPr>
      </w:pPr>
    </w:p>
    <w:p w14:paraId="5AF6C356" w14:textId="77777777" w:rsidR="000B3D88" w:rsidRPr="00BF1B78" w:rsidRDefault="000B3D88">
      <w:pPr>
        <w:rPr>
          <w:rFonts w:ascii="Helvetica" w:hAnsi="Helvetica" w:cs="Helvetica"/>
          <w:b/>
          <w:bCs/>
          <w:sz w:val="21"/>
          <w:szCs w:val="21"/>
          <w:lang w:val="en-US"/>
        </w:rPr>
      </w:pPr>
      <w:r w:rsidRPr="00BF1B78">
        <w:rPr>
          <w:rFonts w:ascii="Helvetica" w:hAnsi="Helvetica" w:cs="Helvetica"/>
          <w:b/>
          <w:bCs/>
          <w:sz w:val="21"/>
          <w:szCs w:val="21"/>
          <w:lang w:val="en-US"/>
        </w:rPr>
        <w:t xml:space="preserve">Signed on behalf of emh homes: </w:t>
      </w:r>
    </w:p>
    <w:p w14:paraId="47B09AF9" w14:textId="77777777" w:rsidR="000B3D88" w:rsidRPr="00BF1B78" w:rsidRDefault="000B3D88">
      <w:pPr>
        <w:rPr>
          <w:rFonts w:ascii="Helvetica" w:hAnsi="Helvetica" w:cs="Helvetica"/>
          <w:b/>
          <w:bCs/>
          <w:sz w:val="21"/>
          <w:szCs w:val="21"/>
          <w:lang w:val="en-US"/>
        </w:rPr>
      </w:pPr>
      <w:r w:rsidRPr="00BF1B78">
        <w:rPr>
          <w:rFonts w:ascii="Helvetica" w:hAnsi="Helvetica" w:cs="Helvetica"/>
          <w:b/>
          <w:bCs/>
          <w:sz w:val="21"/>
          <w:szCs w:val="21"/>
          <w:lang w:val="en-US"/>
        </w:rPr>
        <w:t xml:space="preserve">Name: </w:t>
      </w:r>
      <w:r w:rsidRPr="00BF1B78">
        <w:rPr>
          <w:rFonts w:ascii="Helvetica" w:hAnsi="Helvetica" w:cs="Helvetica"/>
          <w:sz w:val="21"/>
          <w:szCs w:val="21"/>
          <w:lang w:val="en-US"/>
        </w:rPr>
        <w:t>Lorraine Baxter</w:t>
      </w:r>
      <w:r w:rsidRPr="00BF1B78">
        <w:rPr>
          <w:rFonts w:ascii="Helvetica" w:hAnsi="Helvetica" w:cs="Helvetica"/>
          <w:b/>
          <w:bCs/>
          <w:sz w:val="21"/>
          <w:szCs w:val="21"/>
          <w:lang w:val="en-US"/>
        </w:rPr>
        <w:t>………</w:t>
      </w:r>
      <w:r w:rsidR="00BF1B78" w:rsidRPr="00BF1B78">
        <w:rPr>
          <w:rFonts w:ascii="Helvetica" w:hAnsi="Helvetica" w:cs="Helvetica"/>
          <w:b/>
          <w:bCs/>
          <w:sz w:val="21"/>
          <w:szCs w:val="21"/>
          <w:lang w:val="en-US"/>
        </w:rPr>
        <w:t>….</w:t>
      </w:r>
      <w:r w:rsidRPr="00BF1B78">
        <w:rPr>
          <w:rFonts w:ascii="Helvetica" w:hAnsi="Helvetica" w:cs="Helvetica"/>
          <w:b/>
          <w:bCs/>
          <w:sz w:val="21"/>
          <w:szCs w:val="21"/>
          <w:lang w:val="en-US"/>
        </w:rPr>
        <w:t xml:space="preserve">Job Title. </w:t>
      </w:r>
      <w:r w:rsidRPr="00BF1B78">
        <w:rPr>
          <w:rFonts w:ascii="Helvetica" w:hAnsi="Helvetica" w:cs="Helvetica"/>
          <w:sz w:val="21"/>
          <w:szCs w:val="21"/>
          <w:lang w:val="en-US"/>
        </w:rPr>
        <w:t>Allocations Team Leader</w:t>
      </w:r>
      <w:r w:rsidRPr="00BF1B78">
        <w:rPr>
          <w:rFonts w:ascii="Helvetica" w:hAnsi="Helvetica" w:cs="Helvetica"/>
          <w:b/>
          <w:bCs/>
          <w:sz w:val="21"/>
          <w:szCs w:val="21"/>
          <w:lang w:val="en-US"/>
        </w:rPr>
        <w:t xml:space="preserve"> </w:t>
      </w:r>
    </w:p>
    <w:p w14:paraId="5D362F67" w14:textId="77777777" w:rsidR="000B3D88" w:rsidRPr="00BF1B78" w:rsidRDefault="000B3D88">
      <w:pPr>
        <w:rPr>
          <w:rFonts w:ascii="Helvetica" w:hAnsi="Helvetica" w:cs="Helvetica"/>
          <w:b/>
          <w:bCs/>
          <w:sz w:val="21"/>
          <w:szCs w:val="21"/>
          <w:lang w:val="en-US"/>
        </w:rPr>
      </w:pPr>
      <w:r w:rsidRPr="00BF1B78">
        <w:rPr>
          <w:rFonts w:ascii="Helvetica" w:hAnsi="Helvetica" w:cs="Helvetica"/>
          <w:b/>
          <w:bCs/>
          <w:sz w:val="21"/>
          <w:szCs w:val="21"/>
          <w:lang w:val="en-US"/>
        </w:rPr>
        <w:t>Signature:……</w:t>
      </w:r>
      <w:r w:rsidR="00BF1B78" w:rsidRPr="00BF1B78">
        <w:rPr>
          <w:rFonts w:ascii="Helvetica" w:hAnsi="Helvetica" w:cs="Helvetica"/>
          <w:noProof/>
          <w:sz w:val="21"/>
          <w:szCs w:val="21"/>
        </w:rPr>
        <w:t xml:space="preserve"> </w:t>
      </w:r>
      <w:r w:rsidR="00BF1B78" w:rsidRPr="007A17EC">
        <w:rPr>
          <w:noProof/>
          <w:lang w:eastAsia="en-GB"/>
        </w:rPr>
        <w:drawing>
          <wp:inline distT="0" distB="0" distL="0" distR="0" wp14:anchorId="71041DDF" wp14:editId="69150923">
            <wp:extent cx="1729740" cy="274320"/>
            <wp:effectExtent l="0" t="0" r="3810" b="0"/>
            <wp:docPr id="1"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person&#10;&#10;Description automatically generated"/>
                    <pic:cNvPicPr/>
                  </pic:nvPicPr>
                  <pic:blipFill>
                    <a:blip r:embed="rId8"/>
                    <a:stretch>
                      <a:fillRect/>
                    </a:stretch>
                  </pic:blipFill>
                  <pic:spPr>
                    <a:xfrm flipV="1">
                      <a:off x="0" y="0"/>
                      <a:ext cx="1754086" cy="278181"/>
                    </a:xfrm>
                    <a:prstGeom prst="rect">
                      <a:avLst/>
                    </a:prstGeom>
                  </pic:spPr>
                </pic:pic>
              </a:graphicData>
            </a:graphic>
          </wp:inline>
        </w:drawing>
      </w:r>
      <w:r w:rsidRPr="00BF1B78">
        <w:rPr>
          <w:rFonts w:ascii="Helvetica" w:hAnsi="Helvetica" w:cs="Helvetica"/>
          <w:b/>
          <w:bCs/>
          <w:sz w:val="21"/>
          <w:szCs w:val="21"/>
          <w:lang w:val="en-US"/>
        </w:rPr>
        <w:t>………………. Date:……</w:t>
      </w:r>
      <w:r w:rsidR="00BF1B78" w:rsidRPr="00BF1B78">
        <w:rPr>
          <w:rFonts w:ascii="Helvetica" w:hAnsi="Helvetica" w:cs="Helvetica"/>
          <w:sz w:val="21"/>
          <w:szCs w:val="21"/>
          <w:lang w:val="en-US"/>
        </w:rPr>
        <w:t>03/11/2023</w:t>
      </w:r>
      <w:r w:rsidRPr="00BF1B78">
        <w:rPr>
          <w:rFonts w:ascii="Helvetica" w:hAnsi="Helvetica" w:cs="Helvetica"/>
          <w:b/>
          <w:bCs/>
          <w:sz w:val="21"/>
          <w:szCs w:val="21"/>
          <w:lang w:val="en-US"/>
        </w:rPr>
        <w:t>…….</w:t>
      </w:r>
    </w:p>
    <w:p w14:paraId="02C5604F" w14:textId="77777777" w:rsidR="000B3D88" w:rsidRPr="00BF1B78" w:rsidRDefault="000B3D88">
      <w:pPr>
        <w:rPr>
          <w:rFonts w:ascii="Helvetica" w:hAnsi="Helvetica" w:cs="Helvetica"/>
          <w:b/>
          <w:bCs/>
          <w:sz w:val="21"/>
          <w:szCs w:val="21"/>
          <w:lang w:val="en-US"/>
        </w:rPr>
      </w:pPr>
    </w:p>
    <w:p w14:paraId="690C5AAA" w14:textId="77777777" w:rsidR="000B3D88" w:rsidRPr="00BF1B78" w:rsidRDefault="000B3D88">
      <w:pPr>
        <w:rPr>
          <w:rFonts w:ascii="Helvetica" w:hAnsi="Helvetica" w:cs="Helvetica"/>
          <w:b/>
          <w:bCs/>
          <w:sz w:val="21"/>
          <w:szCs w:val="21"/>
          <w:lang w:val="en-US"/>
        </w:rPr>
      </w:pPr>
      <w:r w:rsidRPr="00BF1B78">
        <w:rPr>
          <w:rFonts w:ascii="Helvetica" w:hAnsi="Helvetica" w:cs="Helvetica"/>
          <w:b/>
          <w:bCs/>
          <w:sz w:val="21"/>
          <w:szCs w:val="21"/>
          <w:lang w:val="en-US"/>
        </w:rPr>
        <w:t>Signed on behalf of Mansfield Council:</w:t>
      </w:r>
    </w:p>
    <w:p w14:paraId="19FF0CCC" w14:textId="77777777" w:rsidR="000B3D88" w:rsidRDefault="00E032D3">
      <w:pPr>
        <w:rPr>
          <w:rFonts w:ascii="Helvetica" w:hAnsi="Helvetica" w:cs="Helvetica"/>
          <w:b/>
          <w:bCs/>
          <w:sz w:val="21"/>
          <w:szCs w:val="21"/>
          <w:lang w:val="en-US"/>
        </w:rPr>
      </w:pPr>
      <w:r>
        <w:rPr>
          <w:rFonts w:ascii="Helvetica" w:hAnsi="Helvetica" w:cs="Helvetica"/>
          <w:b/>
          <w:bCs/>
          <w:noProof/>
          <w:sz w:val="21"/>
          <w:szCs w:val="21"/>
          <w:lang w:eastAsia="en-GB"/>
        </w:rPr>
        <w:drawing>
          <wp:anchor distT="0" distB="0" distL="114300" distR="114300" simplePos="0" relativeHeight="251660288" behindDoc="1" locked="0" layoutInCell="1" allowOverlap="1" wp14:anchorId="13F9EDA2" wp14:editId="761E29F4">
            <wp:simplePos x="0" y="0"/>
            <wp:positionH relativeFrom="column">
              <wp:posOffset>1664970</wp:posOffset>
            </wp:positionH>
            <wp:positionV relativeFrom="paragraph">
              <wp:posOffset>150495</wp:posOffset>
            </wp:positionV>
            <wp:extent cx="1024890" cy="70675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89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D88" w:rsidRPr="00BF1B78">
        <w:rPr>
          <w:rFonts w:ascii="Helvetica" w:hAnsi="Helvetica" w:cs="Helvetica"/>
          <w:b/>
          <w:bCs/>
          <w:sz w:val="21"/>
          <w:szCs w:val="21"/>
          <w:lang w:val="en-US"/>
        </w:rPr>
        <w:t>Name…</w:t>
      </w:r>
      <w:r>
        <w:rPr>
          <w:rFonts w:ascii="Helvetica" w:hAnsi="Helvetica" w:cs="Helvetica"/>
          <w:b/>
          <w:bCs/>
          <w:sz w:val="21"/>
          <w:szCs w:val="21"/>
          <w:lang w:val="en-US"/>
        </w:rPr>
        <w:t>Jill Finnesey</w:t>
      </w:r>
      <w:r w:rsidR="000B3D88" w:rsidRPr="00BF1B78">
        <w:rPr>
          <w:rFonts w:ascii="Helvetica" w:hAnsi="Helvetica" w:cs="Helvetica"/>
          <w:b/>
          <w:bCs/>
          <w:sz w:val="21"/>
          <w:szCs w:val="21"/>
          <w:lang w:val="en-US"/>
        </w:rPr>
        <w:t xml:space="preserve">………………………………… Job </w:t>
      </w:r>
      <w:r w:rsidR="00BF1B78" w:rsidRPr="00BF1B78">
        <w:rPr>
          <w:rFonts w:ascii="Helvetica" w:hAnsi="Helvetica" w:cs="Helvetica"/>
          <w:b/>
          <w:bCs/>
          <w:sz w:val="21"/>
          <w:szCs w:val="21"/>
          <w:lang w:val="en-US"/>
        </w:rPr>
        <w:t>Title:</w:t>
      </w:r>
      <w:r w:rsidR="000B3D88" w:rsidRPr="00BF1B78">
        <w:rPr>
          <w:rFonts w:ascii="Helvetica" w:hAnsi="Helvetica" w:cs="Helvetica"/>
          <w:b/>
          <w:bCs/>
          <w:sz w:val="21"/>
          <w:szCs w:val="21"/>
          <w:lang w:val="en-US"/>
        </w:rPr>
        <w:t>…</w:t>
      </w:r>
      <w:r>
        <w:rPr>
          <w:rFonts w:ascii="Helvetica" w:hAnsi="Helvetica" w:cs="Helvetica"/>
          <w:b/>
          <w:bCs/>
          <w:sz w:val="21"/>
          <w:szCs w:val="21"/>
          <w:lang w:val="en-US"/>
        </w:rPr>
        <w:t>Head of Housing</w:t>
      </w:r>
      <w:r w:rsidR="000B3D88" w:rsidRPr="00BF1B78">
        <w:rPr>
          <w:rFonts w:ascii="Helvetica" w:hAnsi="Helvetica" w:cs="Helvetica"/>
          <w:b/>
          <w:bCs/>
          <w:sz w:val="21"/>
          <w:szCs w:val="21"/>
          <w:lang w:val="en-US"/>
        </w:rPr>
        <w:t>………………………</w:t>
      </w:r>
    </w:p>
    <w:p w14:paraId="689A9AD7" w14:textId="77777777" w:rsidR="00E032D3" w:rsidRPr="00BF1B78" w:rsidRDefault="00E032D3">
      <w:pPr>
        <w:rPr>
          <w:rFonts w:ascii="Helvetica" w:hAnsi="Helvetica" w:cs="Helvetica"/>
          <w:b/>
          <w:bCs/>
          <w:sz w:val="21"/>
          <w:szCs w:val="21"/>
          <w:lang w:val="en-US"/>
        </w:rPr>
      </w:pPr>
    </w:p>
    <w:p w14:paraId="0E3314CF" w14:textId="77777777" w:rsidR="000B3D88" w:rsidRDefault="00E032D3">
      <w:pPr>
        <w:rPr>
          <w:rFonts w:ascii="Helvetica" w:hAnsi="Helvetica" w:cs="Helvetica"/>
          <w:b/>
          <w:bCs/>
          <w:sz w:val="21"/>
          <w:szCs w:val="21"/>
          <w:lang w:val="en-US"/>
        </w:rPr>
      </w:pPr>
      <w:r>
        <w:rPr>
          <w:rFonts w:ascii="Helvetica" w:hAnsi="Helvetica" w:cs="Helvetica"/>
          <w:b/>
          <w:bCs/>
          <w:noProof/>
          <w:sz w:val="21"/>
          <w:szCs w:val="21"/>
          <w:lang w:eastAsia="en-GB"/>
        </w:rPr>
        <w:drawing>
          <wp:anchor distT="0" distB="0" distL="114300" distR="114300" simplePos="0" relativeHeight="251658240" behindDoc="1" locked="0" layoutInCell="1" allowOverlap="1" wp14:anchorId="7E3C6821" wp14:editId="6E73A8CE">
            <wp:simplePos x="0" y="0"/>
            <wp:positionH relativeFrom="column">
              <wp:posOffset>786130</wp:posOffset>
            </wp:positionH>
            <wp:positionV relativeFrom="paragraph">
              <wp:posOffset>5619115</wp:posOffset>
            </wp:positionV>
            <wp:extent cx="1024890" cy="70675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89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D88" w:rsidRPr="00BF1B78">
        <w:rPr>
          <w:rFonts w:ascii="Helvetica" w:hAnsi="Helvetica" w:cs="Helvetica"/>
          <w:b/>
          <w:bCs/>
          <w:sz w:val="21"/>
          <w:szCs w:val="21"/>
          <w:lang w:val="en-US"/>
        </w:rPr>
        <w:t>Signature…………………………………………</w:t>
      </w:r>
      <w:r w:rsidR="00BF1B78" w:rsidRPr="00BF1B78">
        <w:rPr>
          <w:rFonts w:ascii="Helvetica" w:hAnsi="Helvetica" w:cs="Helvetica"/>
          <w:b/>
          <w:bCs/>
          <w:sz w:val="21"/>
          <w:szCs w:val="21"/>
          <w:lang w:val="en-US"/>
        </w:rPr>
        <w:t>.... Date</w:t>
      </w:r>
      <w:r w:rsidR="000B3D88" w:rsidRPr="00BF1B78">
        <w:rPr>
          <w:rFonts w:ascii="Helvetica" w:hAnsi="Helvetica" w:cs="Helvetica"/>
          <w:b/>
          <w:bCs/>
          <w:sz w:val="21"/>
          <w:szCs w:val="21"/>
          <w:lang w:val="en-US"/>
        </w:rPr>
        <w:t>……</w:t>
      </w:r>
      <w:r>
        <w:rPr>
          <w:rFonts w:ascii="Helvetica" w:hAnsi="Helvetica" w:cs="Helvetica"/>
          <w:b/>
          <w:bCs/>
          <w:sz w:val="21"/>
          <w:szCs w:val="21"/>
          <w:lang w:val="en-US"/>
        </w:rPr>
        <w:t>10/11/23</w:t>
      </w:r>
      <w:r w:rsidR="000B3D88" w:rsidRPr="00BF1B78">
        <w:rPr>
          <w:rFonts w:ascii="Helvetica" w:hAnsi="Helvetica" w:cs="Helvetica"/>
          <w:b/>
          <w:bCs/>
          <w:sz w:val="21"/>
          <w:szCs w:val="21"/>
          <w:lang w:val="en-US"/>
        </w:rPr>
        <w:t>…………………………..</w:t>
      </w:r>
    </w:p>
    <w:p w14:paraId="58B1EF7D" w14:textId="77777777" w:rsidR="00E032D3" w:rsidRDefault="00E032D3">
      <w:pPr>
        <w:rPr>
          <w:rFonts w:ascii="Helvetica" w:hAnsi="Helvetica" w:cs="Helvetica"/>
          <w:b/>
          <w:bCs/>
          <w:sz w:val="21"/>
          <w:szCs w:val="21"/>
          <w:lang w:val="en-US"/>
        </w:rPr>
      </w:pPr>
    </w:p>
    <w:p w14:paraId="3D3D6148" w14:textId="77777777" w:rsidR="00E032D3" w:rsidRDefault="00E032D3">
      <w:pPr>
        <w:rPr>
          <w:rFonts w:ascii="Helvetica" w:hAnsi="Helvetica" w:cs="Helvetica"/>
          <w:b/>
          <w:bCs/>
          <w:sz w:val="21"/>
          <w:szCs w:val="21"/>
          <w:lang w:val="en-US"/>
        </w:rPr>
      </w:pPr>
    </w:p>
    <w:p w14:paraId="76C9DCF2" w14:textId="77777777" w:rsidR="00E032D3" w:rsidRDefault="00E032D3">
      <w:pPr>
        <w:rPr>
          <w:rFonts w:ascii="Helvetica" w:hAnsi="Helvetica" w:cs="Helvetica"/>
          <w:b/>
          <w:bCs/>
          <w:sz w:val="21"/>
          <w:szCs w:val="21"/>
          <w:lang w:val="en-US"/>
        </w:rPr>
      </w:pPr>
    </w:p>
    <w:p w14:paraId="392E2F4B" w14:textId="77777777" w:rsidR="00E032D3" w:rsidRDefault="00E032D3">
      <w:pPr>
        <w:rPr>
          <w:rFonts w:ascii="Helvetica" w:hAnsi="Helvetica" w:cs="Helvetica"/>
          <w:b/>
          <w:bCs/>
          <w:sz w:val="21"/>
          <w:szCs w:val="21"/>
          <w:lang w:val="en-US"/>
        </w:rPr>
      </w:pPr>
    </w:p>
    <w:p w14:paraId="3BD921FE" w14:textId="77777777" w:rsidR="00E032D3" w:rsidRPr="00BF1B78" w:rsidRDefault="00E032D3">
      <w:pPr>
        <w:rPr>
          <w:rFonts w:ascii="Helvetica" w:hAnsi="Helvetica" w:cs="Helvetica"/>
          <w:b/>
          <w:bCs/>
          <w:sz w:val="21"/>
          <w:szCs w:val="21"/>
          <w:lang w:val="en-US"/>
        </w:rPr>
      </w:pPr>
    </w:p>
    <w:sectPr w:rsidR="00E032D3" w:rsidRPr="00BF1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4C67"/>
    <w:multiLevelType w:val="multilevel"/>
    <w:tmpl w:val="93664CB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74535E2F"/>
    <w:multiLevelType w:val="hybridMultilevel"/>
    <w:tmpl w:val="B830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582309">
    <w:abstractNumId w:val="0"/>
  </w:num>
  <w:num w:numId="2" w16cid:durableId="12859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B0"/>
    <w:rsid w:val="000B3D88"/>
    <w:rsid w:val="0014042C"/>
    <w:rsid w:val="00144241"/>
    <w:rsid w:val="002414B4"/>
    <w:rsid w:val="0050261F"/>
    <w:rsid w:val="00632425"/>
    <w:rsid w:val="006E71B0"/>
    <w:rsid w:val="007E74EA"/>
    <w:rsid w:val="008D1A27"/>
    <w:rsid w:val="009F6B37"/>
    <w:rsid w:val="00A156E4"/>
    <w:rsid w:val="00AA5AE3"/>
    <w:rsid w:val="00BF1B78"/>
    <w:rsid w:val="00C83160"/>
    <w:rsid w:val="00CD612A"/>
    <w:rsid w:val="00DB162D"/>
    <w:rsid w:val="00E032D3"/>
    <w:rsid w:val="00FA61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9457"/>
  <w15:chartTrackingRefBased/>
  <w15:docId w15:val="{A1573728-65EC-4FDE-9172-FBE9D221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12A"/>
    <w:pPr>
      <w:spacing w:after="0" w:line="240" w:lineRule="auto"/>
      <w:ind w:left="720"/>
      <w:contextualSpacing/>
    </w:pPr>
    <w:rPr>
      <w:kern w:val="0"/>
      <w14:ligatures w14:val="none"/>
    </w:rPr>
  </w:style>
  <w:style w:type="character" w:styleId="Hyperlink">
    <w:name w:val="Hyperlink"/>
    <w:basedOn w:val="DefaultParagraphFont"/>
    <w:uiPriority w:val="99"/>
    <w:unhideWhenUsed/>
    <w:rsid w:val="00AA5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0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lorraine.baxter@emh.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0B16.B45ED1F0" TargetMode="External"/><Relationship Id="rId11"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1FB3A8776B54FB3D3C5F3E6109BB9" ma:contentTypeVersion="13" ma:contentTypeDescription="Create a new document." ma:contentTypeScope="" ma:versionID="e2be7e983933e658e073632de4dbc066">
  <xsd:schema xmlns:xsd="http://www.w3.org/2001/XMLSchema" xmlns:xs="http://www.w3.org/2001/XMLSchema" xmlns:p="http://schemas.microsoft.com/office/2006/metadata/properties" xmlns:ns2="d00c6f68-7577-4507-b058-f355f2d09a22" xmlns:ns3="cfc32f27-711d-4a46-979d-74f53933823a" targetNamespace="http://schemas.microsoft.com/office/2006/metadata/properties" ma:root="true" ma:fieldsID="6ce254b348df91e95930417993233906" ns2:_="" ns3:_="">
    <xsd:import namespace="d00c6f68-7577-4507-b058-f355f2d09a22"/>
    <xsd:import namespace="cfc32f27-711d-4a46-979d-74f53933823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c6f68-7577-4507-b058-f355f2d09a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6d982e3-1d6e-4114-a8fa-a2fe98e10992}" ma:internalName="TaxCatchAll" ma:showField="CatchAllData" ma:web="d00c6f68-7577-4507-b058-f355f2d09a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c32f27-711d-4a46-979d-74f5393382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32f27-711d-4a46-979d-74f53933823a">
      <Terms xmlns="http://schemas.microsoft.com/office/infopath/2007/PartnerControls"/>
    </lcf76f155ced4ddcb4097134ff3c332f>
    <TaxCatchAll xmlns="d00c6f68-7577-4507-b058-f355f2d09a22" xsi:nil="true"/>
    <_dlc_DocId xmlns="d00c6f68-7577-4507-b058-f355f2d09a22">JURTUXZMUEXC-1093309750-27495</_dlc_DocId>
    <_dlc_DocIdUrl xmlns="d00c6f68-7577-4507-b058-f355f2d09a22">
      <Url>https://mansfieldgovuk.sharepoint.com/sites/DPT-Homefinder/_layouts/15/DocIdRedir.aspx?ID=JURTUXZMUEXC-1093309750-27495</Url>
      <Description>JURTUXZMUEXC-1093309750-27495</Description>
    </_dlc_DocIdUrl>
  </documentManagement>
</p:properties>
</file>

<file path=customXml/itemProps1.xml><?xml version="1.0" encoding="utf-8"?>
<ds:datastoreItem xmlns:ds="http://schemas.openxmlformats.org/officeDocument/2006/customXml" ds:itemID="{3DF6FB27-BC7A-447C-8ECC-FD74F722F086}"/>
</file>

<file path=customXml/itemProps2.xml><?xml version="1.0" encoding="utf-8"?>
<ds:datastoreItem xmlns:ds="http://schemas.openxmlformats.org/officeDocument/2006/customXml" ds:itemID="{E781F007-F9E0-408E-9D63-66F4B3ECEA3A}"/>
</file>

<file path=customXml/itemProps3.xml><?xml version="1.0" encoding="utf-8"?>
<ds:datastoreItem xmlns:ds="http://schemas.openxmlformats.org/officeDocument/2006/customXml" ds:itemID="{3CED82A4-A550-4314-BD8B-8724AB40D9E7}"/>
</file>

<file path=customXml/itemProps4.xml><?xml version="1.0" encoding="utf-8"?>
<ds:datastoreItem xmlns:ds="http://schemas.openxmlformats.org/officeDocument/2006/customXml" ds:itemID="{16B4450B-1471-453E-B871-62C7409E0F49}"/>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Baxter</dc:creator>
  <cp:keywords/>
  <dc:description/>
  <cp:lastModifiedBy>Elinor Davies</cp:lastModifiedBy>
  <cp:revision>2</cp:revision>
  <dcterms:created xsi:type="dcterms:W3CDTF">2026-06-09T15:43:00Z</dcterms:created>
  <dcterms:modified xsi:type="dcterms:W3CDTF">2026-06-09T15:43:00Z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0x010100EA11FB3A8776B54FB3D3C5F3E6109BB9</vt:lpwstr>
  </property>
  <property fmtid="{D5CDD505-2E9C-101B-9397-08002B2CF9AE}" pid="3" name="_dlc_DocIdItemGuid">
    <vt:lpwstr>b6775be7-58e4-4901-bab7-61527ebc47ee</vt:lpwstr>
  </property>
</Properties>
</file>